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pacing w:val="-2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平昌县2024年春季研学旅行实践承办机构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20"/>
          <w:sz w:val="44"/>
          <w:szCs w:val="44"/>
          <w:lang w:val="en-US" w:eastAsia="zh-CN"/>
        </w:rPr>
        <w:t>备案登记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审核通过名单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1.巴中日报天涯旅游有限公司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2.四川美忆国际旅行社有限公司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3.四川省启程未来智慧研学旅行服务有限公司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4.四川旅投乐学旅游有限公司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5.四川省阆中绿野旅行社有限公司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6.四川文轩行知研学旅行社有限公司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7.四川欧克国际旅行社有限公司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8.巴中市光雾山旅行社有限公司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9.四川巴中宏耀旅行社有限责任公司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巴中市新神州旅行社有限责任公司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11.四川巴山水乡旅游集团有限公司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12.四川巴山知行文化旅游发展有限公司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13.四川春秋旅游有限责任公司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14.巴中市新程研学旅行社有限公司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YzJjOWEzYTQ1OWZiYjQ2ZjYyOWEwNzljNjU0MmUifQ=="/>
  </w:docVars>
  <w:rsids>
    <w:rsidRoot w:val="34436B67"/>
    <w:rsid w:val="3443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2024-04-06T03:32:00Z</dcterms:created>
  <dc:creator>PCTC</dc:creator>
  <cp:lastModifiedBy>PCTC</cp:lastModifiedBy>
  <dcterms:modified xsi:type="dcterms:W3CDTF">2024-04-06T03:32:55Z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DA6B30C78D9E4934B5E3FEA572C57B73_11</vt:lpwstr>
  </property>
</Properties>
</file>